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883" w:firstLineChars="200"/>
        <w:jc w:val="center"/>
        <w:rPr>
          <w:rFonts w:ascii="黑体" w:eastAsia="黑体"/>
          <w:b/>
          <w:sz w:val="44"/>
          <w:szCs w:val="44"/>
        </w:rPr>
      </w:pPr>
      <w:r>
        <w:rPr>
          <w:rFonts w:hint="eastAsia" w:ascii="黑体" w:hAnsi="宋体" w:eastAsia="黑体"/>
          <w:b/>
          <w:bCs/>
          <w:sz w:val="44"/>
          <w:szCs w:val="44"/>
        </w:rPr>
        <w:t>第四章</w:t>
      </w:r>
      <w:r>
        <w:rPr>
          <w:rFonts w:ascii="黑体" w:hAnsi="宋体" w:eastAsia="黑体"/>
          <w:b/>
          <w:bCs/>
          <w:sz w:val="44"/>
          <w:szCs w:val="44"/>
        </w:rPr>
        <w:t xml:space="preserve"> </w:t>
      </w:r>
      <w:r>
        <w:rPr>
          <w:rFonts w:hint="eastAsia" w:ascii="黑体" w:eastAsia="黑体"/>
          <w:b/>
          <w:sz w:val="44"/>
          <w:szCs w:val="44"/>
        </w:rPr>
        <w:t>采购需求</w:t>
      </w:r>
    </w:p>
    <w:p>
      <w:pPr>
        <w:spacing w:line="360" w:lineRule="auto"/>
        <w:jc w:val="left"/>
        <w:rPr>
          <w:rFonts w:ascii="宋体" w:hAnsi="宋体" w:cs="宋体"/>
          <w:b/>
          <w:bCs/>
          <w:kern w:val="32"/>
          <w:sz w:val="28"/>
          <w:szCs w:val="28"/>
        </w:rPr>
      </w:pPr>
    </w:p>
    <w:p>
      <w:pPr>
        <w:numPr>
          <w:ilvl w:val="0"/>
          <w:numId w:val="1"/>
        </w:numPr>
        <w:spacing w:line="360" w:lineRule="auto"/>
        <w:ind w:left="0" w:firstLine="0"/>
        <w:jc w:val="left"/>
        <w:rPr>
          <w:rFonts w:ascii="宋体" w:hAnsi="宋体" w:cs="宋体"/>
          <w:b/>
          <w:bCs/>
          <w:kern w:val="32"/>
          <w:sz w:val="28"/>
          <w:szCs w:val="28"/>
        </w:rPr>
      </w:pPr>
      <w:r>
        <w:rPr>
          <w:rFonts w:hint="eastAsia" w:ascii="宋体" w:hAnsi="宋体" w:cs="宋体"/>
          <w:b/>
          <w:bCs/>
          <w:kern w:val="32"/>
          <w:sz w:val="28"/>
          <w:szCs w:val="28"/>
        </w:rPr>
        <w:t>采购项目名称</w:t>
      </w:r>
    </w:p>
    <w:p>
      <w:pPr>
        <w:pStyle w:val="13"/>
        <w:ind w:left="0" w:leftChars="0" w:firstLine="0" w:firstLineChars="0"/>
        <w:rPr>
          <w:sz w:val="28"/>
          <w:szCs w:val="28"/>
        </w:rPr>
      </w:pPr>
      <w:r>
        <w:rPr>
          <w:rFonts w:hint="eastAsia" w:ascii="宋体" w:hAnsi="宋体" w:cs="宋体"/>
          <w:sz w:val="28"/>
          <w:szCs w:val="28"/>
        </w:rPr>
        <w:t>长沙县星天广播电视网络有限公司华为设备系统维保服务项目</w:t>
      </w:r>
    </w:p>
    <w:p>
      <w:pPr>
        <w:numPr>
          <w:ilvl w:val="0"/>
          <w:numId w:val="1"/>
        </w:numPr>
        <w:spacing w:line="360" w:lineRule="auto"/>
        <w:rPr>
          <w:rFonts w:ascii="宋体" w:hAnsi="宋体"/>
          <w:b/>
          <w:sz w:val="28"/>
          <w:szCs w:val="28"/>
        </w:rPr>
      </w:pPr>
      <w:r>
        <w:rPr>
          <w:rFonts w:hint="eastAsia" w:ascii="宋体" w:hAnsi="宋体"/>
          <w:b/>
          <w:sz w:val="28"/>
          <w:szCs w:val="28"/>
        </w:rPr>
        <w:t>项目清单及预算</w:t>
      </w:r>
    </w:p>
    <w:p>
      <w:pPr>
        <w:pStyle w:val="12"/>
        <w:numPr>
          <w:ilvl w:val="0"/>
          <w:numId w:val="2"/>
        </w:numPr>
        <w:ind w:firstLineChars="0"/>
        <w:jc w:val="left"/>
        <w:rPr>
          <w:rFonts w:ascii="宋体" w:hAnsi="宋体" w:cs="宋体"/>
          <w:bCs/>
          <w:sz w:val="28"/>
          <w:szCs w:val="28"/>
        </w:rPr>
      </w:pPr>
      <w:r>
        <w:rPr>
          <w:rFonts w:hint="eastAsia" w:ascii="宋体" w:hAnsi="宋体" w:cs="宋体"/>
          <w:bCs/>
          <w:sz w:val="28"/>
          <w:szCs w:val="28"/>
        </w:rPr>
        <w:t>维保服务服务清单如下表：</w:t>
      </w:r>
    </w:p>
    <w:p>
      <w:pPr>
        <w:pStyle w:val="12"/>
        <w:ind w:left="956" w:firstLine="0" w:firstLineChars="0"/>
        <w:jc w:val="left"/>
        <w:rPr>
          <w:rFonts w:ascii="宋体" w:hAnsi="宋体" w:cs="宋体"/>
          <w:b/>
          <w:sz w:val="18"/>
          <w:szCs w:val="18"/>
        </w:rPr>
      </w:pPr>
    </w:p>
    <w:tbl>
      <w:tblPr>
        <w:tblStyle w:val="7"/>
        <w:tblW w:w="8212" w:type="dxa"/>
        <w:jc w:val="center"/>
        <w:tblLayout w:type="autofit"/>
        <w:tblCellMar>
          <w:top w:w="0" w:type="dxa"/>
          <w:left w:w="108" w:type="dxa"/>
          <w:bottom w:w="0" w:type="dxa"/>
          <w:right w:w="108" w:type="dxa"/>
        </w:tblCellMar>
      </w:tblPr>
      <w:tblGrid>
        <w:gridCol w:w="983"/>
        <w:gridCol w:w="2268"/>
        <w:gridCol w:w="956"/>
        <w:gridCol w:w="1322"/>
        <w:gridCol w:w="2683"/>
      </w:tblGrid>
      <w:tr>
        <w:tblPrEx>
          <w:tblCellMar>
            <w:top w:w="0" w:type="dxa"/>
            <w:left w:w="108" w:type="dxa"/>
            <w:bottom w:w="0" w:type="dxa"/>
            <w:right w:w="108" w:type="dxa"/>
          </w:tblCellMar>
        </w:tblPrEx>
        <w:trPr>
          <w:trHeight w:val="585" w:hRule="atLeast"/>
          <w:jc w:val="center"/>
        </w:trPr>
        <w:tc>
          <w:tcPr>
            <w:tcW w:w="983"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序号</w:t>
            </w:r>
          </w:p>
        </w:tc>
        <w:tc>
          <w:tcPr>
            <w:tcW w:w="226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华为设备</w:t>
            </w:r>
          </w:p>
        </w:tc>
        <w:tc>
          <w:tcPr>
            <w:tcW w:w="956"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数量</w:t>
            </w:r>
          </w:p>
        </w:tc>
        <w:tc>
          <w:tcPr>
            <w:tcW w:w="1322"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单位</w:t>
            </w:r>
          </w:p>
        </w:tc>
        <w:tc>
          <w:tcPr>
            <w:tcW w:w="2683" w:type="dxa"/>
            <w:tcBorders>
              <w:top w:val="single" w:color="auto" w:sz="8" w:space="0"/>
              <w:left w:val="nil"/>
              <w:bottom w:val="single" w:color="auto" w:sz="8" w:space="0"/>
              <w:right w:val="single" w:color="auto" w:sz="8" w:space="0"/>
            </w:tcBorders>
          </w:tcPr>
          <w:p>
            <w:pPr>
              <w:widowControl/>
              <w:jc w:val="center"/>
              <w:rPr>
                <w:rFonts w:ascii="宋体" w:hAnsi="宋体" w:cs="宋体"/>
                <w:b/>
                <w:bCs/>
                <w:kern w:val="0"/>
                <w:sz w:val="28"/>
                <w:szCs w:val="28"/>
              </w:rPr>
            </w:pPr>
            <w:r>
              <w:rPr>
                <w:rFonts w:hint="eastAsia" w:ascii="宋体" w:hAnsi="宋体" w:cs="宋体"/>
                <w:b/>
                <w:bCs/>
                <w:kern w:val="0"/>
                <w:sz w:val="28"/>
                <w:szCs w:val="28"/>
              </w:rPr>
              <w:t>备注</w:t>
            </w:r>
          </w:p>
        </w:tc>
      </w:tr>
      <w:tr>
        <w:tblPrEx>
          <w:tblCellMar>
            <w:top w:w="0" w:type="dxa"/>
            <w:left w:w="108" w:type="dxa"/>
            <w:bottom w:w="0" w:type="dxa"/>
            <w:right w:w="108" w:type="dxa"/>
          </w:tblCellMar>
        </w:tblPrEx>
        <w:trPr>
          <w:trHeight w:val="300" w:hRule="atLeast"/>
          <w:jc w:val="center"/>
        </w:trPr>
        <w:tc>
          <w:tcPr>
            <w:tcW w:w="983"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核心路由器</w:t>
            </w:r>
          </w:p>
        </w:tc>
        <w:tc>
          <w:tcPr>
            <w:tcW w:w="95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32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kern w:val="0"/>
                <w:sz w:val="28"/>
                <w:szCs w:val="28"/>
              </w:rPr>
            </w:pPr>
            <w:r>
              <w:rPr>
                <w:rFonts w:hint="eastAsia" w:ascii="宋体" w:hAnsi="宋体" w:cs="宋体"/>
                <w:kern w:val="0"/>
                <w:sz w:val="28"/>
                <w:szCs w:val="28"/>
              </w:rPr>
              <w:t>台</w:t>
            </w:r>
          </w:p>
        </w:tc>
        <w:tc>
          <w:tcPr>
            <w:tcW w:w="2683" w:type="dxa"/>
            <w:tcBorders>
              <w:top w:val="nil"/>
              <w:left w:val="nil"/>
              <w:bottom w:val="single" w:color="auto" w:sz="8" w:space="0"/>
              <w:right w:val="single" w:color="auto" w:sz="8" w:space="0"/>
            </w:tcBorders>
          </w:tcPr>
          <w:p>
            <w:pPr>
              <w:widowControl/>
              <w:jc w:val="center"/>
              <w:rPr>
                <w:rFonts w:ascii="宋体" w:hAnsi="宋体" w:cs="宋体"/>
                <w:kern w:val="0"/>
                <w:sz w:val="28"/>
                <w:szCs w:val="28"/>
              </w:rPr>
            </w:pPr>
            <w:r>
              <w:rPr>
                <w:rFonts w:hint="eastAsia" w:ascii="宋体" w:hAnsi="宋体" w:cs="宋体"/>
                <w:kern w:val="0"/>
                <w:sz w:val="28"/>
                <w:szCs w:val="28"/>
              </w:rPr>
              <w:t>包括机框和板卡</w:t>
            </w:r>
          </w:p>
        </w:tc>
      </w:tr>
      <w:tr>
        <w:tblPrEx>
          <w:tblCellMar>
            <w:top w:w="0" w:type="dxa"/>
            <w:left w:w="108" w:type="dxa"/>
            <w:bottom w:w="0" w:type="dxa"/>
            <w:right w:w="108" w:type="dxa"/>
          </w:tblCellMar>
        </w:tblPrEx>
        <w:trPr>
          <w:trHeight w:val="300" w:hRule="atLeast"/>
          <w:jc w:val="center"/>
        </w:trPr>
        <w:tc>
          <w:tcPr>
            <w:tcW w:w="983"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8"/>
                <w:szCs w:val="28"/>
              </w:rPr>
            </w:pPr>
            <w:r>
              <w:rPr>
                <w:rFonts w:hint="eastAsia" w:ascii="宋体" w:hAnsi="宋体" w:cs="宋体"/>
                <w:kern w:val="0"/>
                <w:sz w:val="28"/>
                <w:szCs w:val="28"/>
              </w:rPr>
              <w:t>2</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多业务控制网关</w:t>
            </w:r>
          </w:p>
        </w:tc>
        <w:tc>
          <w:tcPr>
            <w:tcW w:w="95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kern w:val="0"/>
                <w:sz w:val="28"/>
                <w:szCs w:val="28"/>
              </w:rPr>
            </w:pPr>
            <w:r>
              <w:rPr>
                <w:rFonts w:ascii="宋体" w:hAnsi="宋体" w:cs="宋体"/>
                <w:kern w:val="0"/>
                <w:sz w:val="28"/>
                <w:szCs w:val="28"/>
              </w:rPr>
              <w:t>2</w:t>
            </w:r>
          </w:p>
        </w:tc>
        <w:tc>
          <w:tcPr>
            <w:tcW w:w="132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kern w:val="0"/>
                <w:sz w:val="28"/>
                <w:szCs w:val="28"/>
              </w:rPr>
            </w:pPr>
            <w:r>
              <w:rPr>
                <w:rFonts w:hint="eastAsia" w:ascii="宋体" w:hAnsi="宋体" w:cs="宋体"/>
                <w:kern w:val="0"/>
                <w:sz w:val="28"/>
                <w:szCs w:val="28"/>
              </w:rPr>
              <w:t>台</w:t>
            </w:r>
          </w:p>
        </w:tc>
        <w:tc>
          <w:tcPr>
            <w:tcW w:w="2683" w:type="dxa"/>
            <w:tcBorders>
              <w:top w:val="nil"/>
              <w:left w:val="nil"/>
              <w:bottom w:val="single" w:color="auto" w:sz="8" w:space="0"/>
              <w:right w:val="single" w:color="auto" w:sz="8" w:space="0"/>
            </w:tcBorders>
          </w:tcPr>
          <w:p>
            <w:pPr>
              <w:widowControl/>
              <w:jc w:val="center"/>
              <w:rPr>
                <w:rFonts w:ascii="宋体" w:hAnsi="宋体" w:cs="宋体"/>
                <w:kern w:val="0"/>
                <w:sz w:val="28"/>
                <w:szCs w:val="28"/>
              </w:rPr>
            </w:pPr>
            <w:r>
              <w:rPr>
                <w:rFonts w:hint="eastAsia" w:ascii="宋体" w:hAnsi="宋体" w:cs="宋体"/>
                <w:kern w:val="0"/>
                <w:sz w:val="28"/>
                <w:szCs w:val="28"/>
              </w:rPr>
              <w:t>包括机框和板卡</w:t>
            </w:r>
          </w:p>
        </w:tc>
      </w:tr>
      <w:tr>
        <w:tblPrEx>
          <w:tblCellMar>
            <w:top w:w="0" w:type="dxa"/>
            <w:left w:w="108" w:type="dxa"/>
            <w:bottom w:w="0" w:type="dxa"/>
            <w:right w:w="108" w:type="dxa"/>
          </w:tblCellMar>
        </w:tblPrEx>
        <w:trPr>
          <w:trHeight w:val="300" w:hRule="atLeast"/>
          <w:jc w:val="center"/>
        </w:trPr>
        <w:tc>
          <w:tcPr>
            <w:tcW w:w="983"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kern w:val="0"/>
                <w:sz w:val="28"/>
                <w:szCs w:val="28"/>
              </w:rPr>
            </w:pPr>
            <w:r>
              <w:rPr>
                <w:rFonts w:ascii="宋体" w:hAnsi="宋体" w:cs="宋体"/>
                <w:kern w:val="0"/>
                <w:sz w:val="28"/>
                <w:szCs w:val="28"/>
              </w:rPr>
              <w:t>3</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防火墙</w:t>
            </w:r>
          </w:p>
        </w:tc>
        <w:tc>
          <w:tcPr>
            <w:tcW w:w="956"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kern w:val="0"/>
                <w:sz w:val="28"/>
                <w:szCs w:val="28"/>
              </w:rPr>
            </w:pPr>
            <w:r>
              <w:rPr>
                <w:rFonts w:hint="eastAsia" w:ascii="宋体" w:hAnsi="宋体" w:cs="宋体"/>
                <w:kern w:val="0"/>
                <w:sz w:val="28"/>
                <w:szCs w:val="28"/>
              </w:rPr>
              <w:t>1</w:t>
            </w:r>
          </w:p>
        </w:tc>
        <w:tc>
          <w:tcPr>
            <w:tcW w:w="1322"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kern w:val="0"/>
                <w:sz w:val="28"/>
                <w:szCs w:val="28"/>
              </w:rPr>
            </w:pPr>
            <w:r>
              <w:rPr>
                <w:rFonts w:hint="eastAsia" w:ascii="宋体" w:hAnsi="宋体" w:cs="宋体"/>
                <w:kern w:val="0"/>
                <w:sz w:val="28"/>
                <w:szCs w:val="28"/>
              </w:rPr>
              <w:t>台</w:t>
            </w:r>
          </w:p>
        </w:tc>
        <w:tc>
          <w:tcPr>
            <w:tcW w:w="2683" w:type="dxa"/>
            <w:tcBorders>
              <w:top w:val="nil"/>
              <w:left w:val="nil"/>
              <w:bottom w:val="single" w:color="auto" w:sz="8" w:space="0"/>
              <w:right w:val="single" w:color="auto" w:sz="8" w:space="0"/>
            </w:tcBorders>
          </w:tcPr>
          <w:p>
            <w:pPr>
              <w:widowControl/>
              <w:jc w:val="center"/>
              <w:rPr>
                <w:rFonts w:ascii="宋体" w:hAnsi="宋体" w:cs="宋体"/>
                <w:kern w:val="0"/>
                <w:sz w:val="28"/>
                <w:szCs w:val="28"/>
              </w:rPr>
            </w:pPr>
            <w:r>
              <w:rPr>
                <w:rFonts w:hint="eastAsia" w:ascii="宋体" w:hAnsi="宋体" w:cs="宋体"/>
                <w:kern w:val="0"/>
                <w:sz w:val="28"/>
                <w:szCs w:val="28"/>
              </w:rPr>
              <w:t>包括机框和板卡</w:t>
            </w:r>
          </w:p>
        </w:tc>
      </w:tr>
      <w:tr>
        <w:tblPrEx>
          <w:tblCellMar>
            <w:top w:w="0" w:type="dxa"/>
            <w:left w:w="108" w:type="dxa"/>
            <w:bottom w:w="0" w:type="dxa"/>
            <w:right w:w="108" w:type="dxa"/>
          </w:tblCellMar>
        </w:tblPrEx>
        <w:trPr>
          <w:trHeight w:val="268" w:hRule="atLeast"/>
          <w:jc w:val="center"/>
        </w:trPr>
        <w:tc>
          <w:tcPr>
            <w:tcW w:w="983"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8"/>
                <w:szCs w:val="28"/>
              </w:rPr>
            </w:pPr>
            <w:r>
              <w:rPr>
                <w:rFonts w:ascii="宋体" w:hAnsi="宋体" w:cs="宋体"/>
                <w:kern w:val="0"/>
                <w:sz w:val="28"/>
                <w:szCs w:val="28"/>
              </w:rPr>
              <w:t>4</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核心路由交换机</w:t>
            </w:r>
          </w:p>
        </w:tc>
        <w:tc>
          <w:tcPr>
            <w:tcW w:w="95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8"/>
                <w:szCs w:val="28"/>
              </w:rPr>
            </w:pPr>
            <w:r>
              <w:rPr>
                <w:rFonts w:ascii="宋体" w:hAnsi="宋体" w:cs="宋体"/>
                <w:kern w:val="0"/>
                <w:sz w:val="28"/>
                <w:szCs w:val="28"/>
              </w:rPr>
              <w:t>4</w:t>
            </w:r>
          </w:p>
        </w:tc>
        <w:tc>
          <w:tcPr>
            <w:tcW w:w="1322"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台</w:t>
            </w:r>
          </w:p>
        </w:tc>
        <w:tc>
          <w:tcPr>
            <w:tcW w:w="2683" w:type="dxa"/>
            <w:tcBorders>
              <w:top w:val="nil"/>
              <w:left w:val="nil"/>
              <w:bottom w:val="single" w:color="auto" w:sz="8" w:space="0"/>
              <w:right w:val="single" w:color="auto" w:sz="8" w:space="0"/>
            </w:tcBorders>
          </w:tcPr>
          <w:p>
            <w:pPr>
              <w:widowControl/>
              <w:jc w:val="center"/>
              <w:rPr>
                <w:rFonts w:ascii="宋体" w:hAnsi="宋体" w:cs="宋体"/>
                <w:kern w:val="0"/>
                <w:sz w:val="28"/>
                <w:szCs w:val="28"/>
              </w:rPr>
            </w:pPr>
            <w:r>
              <w:rPr>
                <w:rFonts w:hint="eastAsia" w:ascii="宋体" w:hAnsi="宋体" w:cs="宋体"/>
                <w:kern w:val="0"/>
                <w:sz w:val="28"/>
                <w:szCs w:val="28"/>
              </w:rPr>
              <w:t>包括机框和板卡</w:t>
            </w:r>
          </w:p>
        </w:tc>
      </w:tr>
      <w:tr>
        <w:tblPrEx>
          <w:tblCellMar>
            <w:top w:w="0" w:type="dxa"/>
            <w:left w:w="108" w:type="dxa"/>
            <w:bottom w:w="0" w:type="dxa"/>
            <w:right w:w="108" w:type="dxa"/>
          </w:tblCellMar>
        </w:tblPrEx>
        <w:trPr>
          <w:trHeight w:val="407" w:hRule="atLeast"/>
          <w:jc w:val="center"/>
        </w:trPr>
        <w:tc>
          <w:tcPr>
            <w:tcW w:w="983"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5</w:t>
            </w:r>
          </w:p>
        </w:tc>
        <w:tc>
          <w:tcPr>
            <w:tcW w:w="2268"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汇聚交换机</w:t>
            </w:r>
            <w:bookmarkStart w:id="0" w:name="_GoBack"/>
            <w:bookmarkEnd w:id="0"/>
          </w:p>
        </w:tc>
        <w:tc>
          <w:tcPr>
            <w:tcW w:w="956"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8"/>
                <w:szCs w:val="28"/>
              </w:rPr>
            </w:pPr>
            <w:r>
              <w:rPr>
                <w:rFonts w:ascii="宋体" w:hAnsi="宋体" w:cs="宋体"/>
                <w:kern w:val="0"/>
                <w:sz w:val="28"/>
                <w:szCs w:val="28"/>
              </w:rPr>
              <w:t>4</w:t>
            </w:r>
          </w:p>
        </w:tc>
        <w:tc>
          <w:tcPr>
            <w:tcW w:w="1322"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台</w:t>
            </w:r>
          </w:p>
        </w:tc>
        <w:tc>
          <w:tcPr>
            <w:tcW w:w="2683" w:type="dxa"/>
            <w:tcBorders>
              <w:top w:val="nil"/>
              <w:left w:val="nil"/>
              <w:bottom w:val="single" w:color="auto" w:sz="4" w:space="0"/>
              <w:right w:val="single" w:color="auto" w:sz="8" w:space="0"/>
            </w:tcBorders>
          </w:tcPr>
          <w:p>
            <w:pPr>
              <w:widowControl/>
              <w:jc w:val="center"/>
              <w:rPr>
                <w:rFonts w:ascii="宋体" w:hAnsi="宋体" w:cs="宋体"/>
                <w:kern w:val="0"/>
                <w:sz w:val="28"/>
                <w:szCs w:val="28"/>
              </w:rPr>
            </w:pPr>
            <w:r>
              <w:rPr>
                <w:rFonts w:hint="eastAsia" w:ascii="宋体" w:hAnsi="宋体" w:cs="宋体"/>
                <w:kern w:val="0"/>
                <w:sz w:val="28"/>
                <w:szCs w:val="28"/>
              </w:rPr>
              <w:t>包括机框和板卡</w:t>
            </w:r>
          </w:p>
        </w:tc>
      </w:tr>
    </w:tbl>
    <w:p>
      <w:pPr>
        <w:ind w:firstLine="658" w:firstLineChars="235"/>
        <w:jc w:val="left"/>
        <w:rPr>
          <w:rFonts w:ascii="宋体" w:hAnsi="宋体" w:cs="宋体"/>
          <w:bCs/>
          <w:sz w:val="28"/>
          <w:szCs w:val="28"/>
        </w:rPr>
      </w:pPr>
      <w:r>
        <w:rPr>
          <w:rFonts w:hint="eastAsia" w:ascii="宋体" w:hAnsi="宋体" w:cs="宋体"/>
          <w:bCs/>
          <w:sz w:val="28"/>
          <w:szCs w:val="28"/>
        </w:rPr>
        <w:t>2、项目预算费用（元/年</w:t>
      </w:r>
      <w:r>
        <w:rPr>
          <w:rFonts w:ascii="宋体" w:hAnsi="宋体" w:cs="宋体"/>
          <w:bCs/>
          <w:sz w:val="28"/>
          <w:szCs w:val="28"/>
        </w:rPr>
        <w:t>）</w:t>
      </w:r>
      <w:r>
        <w:rPr>
          <w:rFonts w:hint="eastAsia" w:ascii="宋体" w:hAnsi="宋体" w:cs="宋体"/>
          <w:bCs/>
          <w:sz w:val="28"/>
          <w:szCs w:val="28"/>
        </w:rPr>
        <w:t>：2</w:t>
      </w:r>
      <w:r>
        <w:rPr>
          <w:rFonts w:ascii="宋体" w:hAnsi="宋体" w:cs="宋体"/>
          <w:bCs/>
          <w:sz w:val="28"/>
          <w:szCs w:val="28"/>
        </w:rPr>
        <w:t>4.5</w:t>
      </w:r>
      <w:r>
        <w:rPr>
          <w:rFonts w:hint="eastAsia" w:ascii="宋体" w:hAnsi="宋体" w:cs="宋体"/>
          <w:bCs/>
          <w:sz w:val="28"/>
          <w:szCs w:val="28"/>
        </w:rPr>
        <w:t>万元/年</w:t>
      </w:r>
    </w:p>
    <w:p>
      <w:pPr>
        <w:spacing w:line="360" w:lineRule="auto"/>
        <w:ind w:left="534" w:leftChars="2" w:hanging="530"/>
        <w:rPr>
          <w:rFonts w:ascii="宋体" w:hAnsi="宋体" w:cs="宋体"/>
          <w:b/>
          <w:bCs/>
          <w:sz w:val="28"/>
          <w:szCs w:val="28"/>
        </w:rPr>
      </w:pPr>
      <w:r>
        <w:rPr>
          <w:rFonts w:hint="eastAsia" w:ascii="宋体" w:hAnsi="宋体" w:cs="宋体"/>
          <w:b/>
          <w:bCs/>
          <w:sz w:val="28"/>
          <w:szCs w:val="28"/>
        </w:rPr>
        <w:t>三、技术要求及说明：</w:t>
      </w:r>
    </w:p>
    <w:p>
      <w:pPr>
        <w:pStyle w:val="15"/>
        <w:numPr>
          <w:ilvl w:val="0"/>
          <w:numId w:val="3"/>
        </w:numPr>
        <w:spacing w:line="360" w:lineRule="auto"/>
        <w:ind w:left="0" w:firstLine="660" w:firstLineChars="236"/>
        <w:rPr>
          <w:sz w:val="28"/>
          <w:szCs w:val="28"/>
        </w:rPr>
      </w:pPr>
      <w:r>
        <w:rPr>
          <w:rFonts w:hint="eastAsia"/>
          <w:sz w:val="28"/>
          <w:szCs w:val="28"/>
        </w:rPr>
        <w:t>投标方应提供甲方现有的I</w:t>
      </w:r>
      <w:r>
        <w:rPr>
          <w:sz w:val="28"/>
          <w:szCs w:val="28"/>
        </w:rPr>
        <w:t>P</w:t>
      </w:r>
      <w:r>
        <w:rPr>
          <w:rFonts w:hint="eastAsia"/>
          <w:sz w:val="28"/>
          <w:szCs w:val="28"/>
        </w:rPr>
        <w:t>城域网设备系统、对接系统的完整架构图（包含城域网对接的B</w:t>
      </w:r>
      <w:r>
        <w:rPr>
          <w:sz w:val="28"/>
          <w:szCs w:val="28"/>
        </w:rPr>
        <w:t>OSS</w:t>
      </w:r>
      <w:r>
        <w:rPr>
          <w:rFonts w:hint="eastAsia"/>
          <w:sz w:val="28"/>
          <w:szCs w:val="28"/>
        </w:rPr>
        <w:t>系统、A</w:t>
      </w:r>
      <w:r>
        <w:rPr>
          <w:sz w:val="28"/>
          <w:szCs w:val="28"/>
        </w:rPr>
        <w:t>AA</w:t>
      </w:r>
      <w:r>
        <w:rPr>
          <w:rFonts w:hint="eastAsia"/>
          <w:sz w:val="28"/>
          <w:szCs w:val="28"/>
        </w:rPr>
        <w:t>认证计费系统、D</w:t>
      </w:r>
      <w:r>
        <w:rPr>
          <w:sz w:val="28"/>
          <w:szCs w:val="28"/>
        </w:rPr>
        <w:t>NS</w:t>
      </w:r>
      <w:r>
        <w:rPr>
          <w:rFonts w:hint="eastAsia"/>
          <w:sz w:val="28"/>
          <w:szCs w:val="28"/>
        </w:rPr>
        <w:t>的对接架构图）；提供以上华为维保设备以及相应系统的详细软件、硬件及配置、品牌、型号、数量等清单。</w:t>
      </w:r>
    </w:p>
    <w:p>
      <w:pPr>
        <w:pStyle w:val="15"/>
        <w:numPr>
          <w:ilvl w:val="0"/>
          <w:numId w:val="3"/>
        </w:numPr>
        <w:spacing w:line="360" w:lineRule="auto"/>
        <w:ind w:left="0" w:firstLine="660" w:firstLineChars="236"/>
        <w:rPr>
          <w:sz w:val="28"/>
          <w:szCs w:val="28"/>
        </w:rPr>
      </w:pPr>
      <w:r>
        <w:rPr>
          <w:rFonts w:hint="eastAsia"/>
          <w:sz w:val="28"/>
          <w:szCs w:val="28"/>
        </w:rPr>
        <w:t>要求投标方提供华为原厂标准</w:t>
      </w:r>
      <w:r>
        <w:rPr>
          <w:sz w:val="28"/>
          <w:szCs w:val="28"/>
        </w:rPr>
        <w:t>+</w:t>
      </w:r>
      <w:r>
        <w:rPr>
          <w:rFonts w:hint="eastAsia"/>
          <w:sz w:val="28"/>
          <w:szCs w:val="28"/>
        </w:rPr>
        <w:t>的高级维保服务，并出具华为关于提供原厂维保服务的相关证明资料。</w:t>
      </w:r>
    </w:p>
    <w:p>
      <w:pPr>
        <w:pStyle w:val="15"/>
        <w:numPr>
          <w:ilvl w:val="0"/>
          <w:numId w:val="3"/>
        </w:numPr>
        <w:spacing w:line="360" w:lineRule="auto"/>
        <w:ind w:left="0" w:firstLine="660" w:firstLineChars="236"/>
        <w:rPr>
          <w:sz w:val="28"/>
          <w:szCs w:val="28"/>
        </w:rPr>
      </w:pPr>
      <w:r>
        <w:rPr>
          <w:rFonts w:hint="eastAsia"/>
          <w:sz w:val="28"/>
          <w:szCs w:val="28"/>
        </w:rPr>
        <w:t>维保服务范围包含设备的硬件、软件及系统对接服务。</w:t>
      </w:r>
    </w:p>
    <w:p>
      <w:pPr>
        <w:pStyle w:val="15"/>
        <w:numPr>
          <w:ilvl w:val="0"/>
          <w:numId w:val="3"/>
        </w:numPr>
        <w:spacing w:line="360" w:lineRule="auto"/>
        <w:ind w:left="0" w:firstLine="660" w:firstLineChars="236"/>
        <w:rPr>
          <w:sz w:val="28"/>
          <w:szCs w:val="28"/>
        </w:rPr>
      </w:pPr>
      <w:r>
        <w:rPr>
          <w:rFonts w:hint="eastAsia"/>
          <w:sz w:val="28"/>
          <w:szCs w:val="28"/>
        </w:rPr>
        <w:t>在对以上业务系统进行维护、故障处理、版本升级等工作时必须保证现有业务系统运行正常，不能出现业务中断，确保不发生安播事故。</w:t>
      </w:r>
    </w:p>
    <w:p>
      <w:pPr>
        <w:pStyle w:val="15"/>
        <w:numPr>
          <w:ilvl w:val="0"/>
          <w:numId w:val="3"/>
        </w:numPr>
        <w:spacing w:line="360" w:lineRule="auto"/>
        <w:ind w:left="0" w:firstLine="660" w:firstLineChars="236"/>
        <w:rPr>
          <w:sz w:val="28"/>
          <w:szCs w:val="28"/>
        </w:rPr>
      </w:pPr>
      <w:r>
        <w:rPr>
          <w:rFonts w:hint="eastAsia"/>
          <w:sz w:val="28"/>
          <w:szCs w:val="28"/>
        </w:rPr>
        <w:t>根据甲方具体业务运营需求提供包括现场服务在内的技术支持。</w:t>
      </w:r>
    </w:p>
    <w:p>
      <w:pPr>
        <w:pStyle w:val="15"/>
        <w:numPr>
          <w:ilvl w:val="0"/>
          <w:numId w:val="3"/>
        </w:numPr>
        <w:spacing w:line="360" w:lineRule="auto"/>
        <w:ind w:left="0" w:firstLine="660" w:firstLineChars="236"/>
        <w:rPr>
          <w:sz w:val="28"/>
          <w:szCs w:val="28"/>
        </w:rPr>
      </w:pPr>
      <w:r>
        <w:rPr>
          <w:rFonts w:hint="eastAsia"/>
          <w:sz w:val="28"/>
          <w:szCs w:val="28"/>
        </w:rPr>
        <w:t>解决由于各业务系统引起的或间接引起的各类用户问题，协助甲方处理与各业务系统相关的其他问题。</w:t>
      </w:r>
    </w:p>
    <w:p>
      <w:pPr>
        <w:pStyle w:val="15"/>
        <w:numPr>
          <w:ilvl w:val="0"/>
          <w:numId w:val="3"/>
        </w:numPr>
        <w:spacing w:line="360" w:lineRule="auto"/>
        <w:ind w:left="0" w:firstLine="660" w:firstLineChars="236"/>
        <w:rPr>
          <w:sz w:val="28"/>
          <w:szCs w:val="28"/>
        </w:rPr>
      </w:pPr>
      <w:r>
        <w:rPr>
          <w:rFonts w:hint="eastAsia"/>
          <w:sz w:val="28"/>
          <w:szCs w:val="28"/>
        </w:rPr>
        <w:t>巡检服务</w:t>
      </w:r>
    </w:p>
    <w:p>
      <w:pPr>
        <w:pStyle w:val="15"/>
        <w:spacing w:line="360" w:lineRule="auto"/>
        <w:ind w:left="0" w:firstLine="658" w:firstLineChars="235"/>
        <w:rPr>
          <w:sz w:val="28"/>
          <w:szCs w:val="28"/>
        </w:rPr>
      </w:pPr>
      <w:r>
        <w:rPr>
          <w:rFonts w:hint="eastAsia"/>
          <w:sz w:val="28"/>
          <w:szCs w:val="28"/>
        </w:rPr>
        <w:t>提供每季度一次的周期性以及重要安全播出节点的巡检服务。巡检时间如遇节假日则提前执行，并出具巡检服务报告，巡检服务报告需由采购人签字后统一交由采购人存档。</w:t>
      </w:r>
    </w:p>
    <w:p>
      <w:pPr>
        <w:pStyle w:val="15"/>
        <w:numPr>
          <w:ilvl w:val="0"/>
          <w:numId w:val="3"/>
        </w:numPr>
        <w:spacing w:line="360" w:lineRule="auto"/>
        <w:ind w:left="0" w:firstLine="660" w:firstLineChars="236"/>
        <w:rPr>
          <w:sz w:val="28"/>
          <w:szCs w:val="28"/>
        </w:rPr>
      </w:pPr>
      <w:r>
        <w:rPr>
          <w:rFonts w:hint="eastAsia"/>
          <w:sz w:val="28"/>
          <w:szCs w:val="28"/>
        </w:rPr>
        <w:t>故障响应</w:t>
      </w:r>
    </w:p>
    <w:p>
      <w:pPr>
        <w:pStyle w:val="15"/>
        <w:spacing w:line="360" w:lineRule="auto"/>
        <w:ind w:left="0" w:firstLine="565" w:firstLineChars="202"/>
        <w:rPr>
          <w:sz w:val="28"/>
          <w:szCs w:val="28"/>
        </w:rPr>
      </w:pPr>
      <w:r>
        <w:rPr>
          <w:rFonts w:hint="eastAsia"/>
          <w:sz w:val="28"/>
          <w:szCs w:val="28"/>
        </w:rPr>
        <w:t>设备出现故障后实时响应，在接到通知后2小时内赶到现场，故障处理完毕后应出具对应的故障问题处理报告，报告中需体现故障现象描述、故障分析处理过程、故障处理结果和遗留问题等，故障处理完成后故障问题报告需由采购人签字确认后交由采购人存档。</w:t>
      </w:r>
    </w:p>
    <w:p>
      <w:pPr>
        <w:pStyle w:val="15"/>
        <w:numPr>
          <w:ilvl w:val="0"/>
          <w:numId w:val="3"/>
        </w:numPr>
        <w:spacing w:line="360" w:lineRule="auto"/>
        <w:ind w:left="0" w:firstLine="660" w:firstLineChars="236"/>
        <w:rPr>
          <w:sz w:val="28"/>
          <w:szCs w:val="28"/>
        </w:rPr>
      </w:pPr>
      <w:r>
        <w:rPr>
          <w:rFonts w:hint="eastAsia"/>
          <w:sz w:val="28"/>
          <w:szCs w:val="28"/>
        </w:rPr>
        <w:t>凡对在线业务系统进行有风险的操作，必须提交评估方案给甲方审核，评估方案应当包含实施时间、实施内容、验证方法、影响评估、应急预案等信息。当甲方审核通过后，方能实施。</w:t>
      </w:r>
      <w:r>
        <w:rPr>
          <w:rFonts w:hint="eastAsia"/>
          <w:sz w:val="28"/>
          <w:szCs w:val="28"/>
        </w:rPr>
        <w:tab/>
      </w:r>
    </w:p>
    <w:p>
      <w:pPr>
        <w:pStyle w:val="15"/>
        <w:numPr>
          <w:ilvl w:val="0"/>
          <w:numId w:val="3"/>
        </w:numPr>
        <w:spacing w:line="360" w:lineRule="auto"/>
        <w:ind w:left="0" w:firstLine="660" w:firstLineChars="236"/>
        <w:rPr>
          <w:sz w:val="28"/>
          <w:szCs w:val="28"/>
        </w:rPr>
      </w:pPr>
      <w:r>
        <w:rPr>
          <w:rFonts w:hint="eastAsia"/>
          <w:sz w:val="28"/>
          <w:szCs w:val="28"/>
        </w:rPr>
        <w:t>提供7*24小时电话支持及响应，并在故障处理时限内解决，投标人须承诺在接到通知后2小时内赶到现场，并在12小时内修复故障。</w:t>
      </w:r>
    </w:p>
    <w:p>
      <w:pPr>
        <w:rPr>
          <w:sz w:val="28"/>
          <w:szCs w:val="28"/>
        </w:rPr>
      </w:pPr>
      <w:r>
        <w:rPr>
          <w:rFonts w:hint="eastAsia"/>
        </w:rPr>
        <w:t xml:space="preserve"> </w:t>
      </w:r>
      <w:r>
        <w:t xml:space="preserve">    </w:t>
      </w:r>
      <w:r>
        <w:rPr>
          <w:rFonts w:hint="eastAsia"/>
          <w:sz w:val="28"/>
          <w:szCs w:val="28"/>
        </w:rPr>
        <w:t>维保服务时间有效期为贰年。</w:t>
      </w:r>
    </w:p>
    <w:p>
      <w:pPr>
        <w:spacing w:line="360" w:lineRule="auto"/>
        <w:outlineLvl w:val="0"/>
        <w:rPr>
          <w:rFonts w:cs="宋体"/>
          <w:sz w:val="28"/>
          <w:szCs w:val="28"/>
        </w:rPr>
      </w:pPr>
    </w:p>
    <w:p>
      <w:pPr>
        <w:spacing w:line="360" w:lineRule="auto"/>
        <w:jc w:val="left"/>
        <w:rPr>
          <w:rFonts w:ascii="宋体" w:hAnsi="宋体" w:cs="宋体"/>
          <w:b/>
          <w:bCs/>
          <w:kern w:val="32"/>
          <w:sz w:val="28"/>
          <w:szCs w:val="28"/>
        </w:rPr>
      </w:pPr>
      <w:r>
        <w:rPr>
          <w:rFonts w:hint="eastAsia" w:ascii="宋体" w:hAnsi="宋体" w:cs="宋体"/>
          <w:b/>
          <w:bCs/>
          <w:kern w:val="32"/>
          <w:sz w:val="28"/>
          <w:szCs w:val="28"/>
        </w:rPr>
        <w:t>四、维保服务期限</w:t>
      </w:r>
    </w:p>
    <w:p>
      <w:pPr>
        <w:pStyle w:val="13"/>
        <w:spacing w:line="360" w:lineRule="auto"/>
        <w:ind w:firstLine="560"/>
        <w:rPr>
          <w:rFonts w:cs="宋体"/>
          <w:sz w:val="28"/>
          <w:szCs w:val="28"/>
        </w:rPr>
      </w:pPr>
      <w:r>
        <w:rPr>
          <w:rFonts w:ascii="宋体" w:hAnsi="宋体" w:cs="宋体"/>
          <w:sz w:val="28"/>
          <w:szCs w:val="28"/>
        </w:rPr>
        <w:t>从</w:t>
      </w:r>
      <w:r>
        <w:rPr>
          <w:rFonts w:ascii="宋体" w:hAnsi="宋体" w:cs="宋体"/>
          <w:sz w:val="28"/>
          <w:szCs w:val="28"/>
          <w:u w:val="single"/>
        </w:rPr>
        <w:t>2023</w:t>
      </w:r>
      <w:r>
        <w:rPr>
          <w:rFonts w:ascii="宋体" w:hAnsi="宋体" w:cs="宋体"/>
          <w:sz w:val="28"/>
          <w:szCs w:val="28"/>
        </w:rPr>
        <w:t>年</w:t>
      </w:r>
      <w:r>
        <w:rPr>
          <w:rFonts w:ascii="宋体" w:hAnsi="宋体" w:cs="宋体"/>
          <w:sz w:val="28"/>
          <w:szCs w:val="28"/>
          <w:u w:val="single"/>
        </w:rPr>
        <w:t xml:space="preserve">1 </w:t>
      </w:r>
      <w:r>
        <w:rPr>
          <w:rFonts w:ascii="宋体" w:hAnsi="宋体" w:cs="宋体"/>
          <w:sz w:val="28"/>
          <w:szCs w:val="28"/>
        </w:rPr>
        <w:t>月</w:t>
      </w:r>
      <w:r>
        <w:rPr>
          <w:rFonts w:ascii="宋体" w:hAnsi="宋体" w:cs="宋体"/>
          <w:sz w:val="28"/>
          <w:szCs w:val="28"/>
          <w:u w:val="single"/>
        </w:rPr>
        <w:t xml:space="preserve">7 </w:t>
      </w:r>
      <w:r>
        <w:rPr>
          <w:rFonts w:ascii="宋体" w:hAnsi="宋体" w:cs="宋体"/>
          <w:sz w:val="28"/>
          <w:szCs w:val="28"/>
        </w:rPr>
        <w:t>日起至</w:t>
      </w:r>
      <w:r>
        <w:rPr>
          <w:rFonts w:ascii="宋体" w:hAnsi="宋体" w:cs="宋体"/>
          <w:sz w:val="28"/>
          <w:szCs w:val="28"/>
          <w:u w:val="single"/>
        </w:rPr>
        <w:t>2025</w:t>
      </w:r>
      <w:r>
        <w:rPr>
          <w:rFonts w:ascii="宋体" w:hAnsi="宋体" w:cs="宋体"/>
          <w:sz w:val="28"/>
          <w:szCs w:val="28"/>
        </w:rPr>
        <w:t>年</w:t>
      </w:r>
      <w:r>
        <w:rPr>
          <w:rFonts w:ascii="宋体" w:hAnsi="宋体" w:cs="宋体"/>
          <w:sz w:val="28"/>
          <w:szCs w:val="28"/>
          <w:u w:val="single"/>
        </w:rPr>
        <w:t>1</w:t>
      </w:r>
      <w:r>
        <w:rPr>
          <w:rFonts w:ascii="宋体" w:hAnsi="宋体" w:cs="宋体"/>
          <w:sz w:val="28"/>
          <w:szCs w:val="28"/>
        </w:rPr>
        <w:t>月</w:t>
      </w:r>
      <w:r>
        <w:rPr>
          <w:rFonts w:ascii="宋体" w:hAnsi="宋体" w:cs="宋体"/>
          <w:sz w:val="28"/>
          <w:szCs w:val="28"/>
          <w:u w:val="single"/>
        </w:rPr>
        <w:t>8</w:t>
      </w:r>
      <w:r>
        <w:rPr>
          <w:rFonts w:ascii="宋体" w:hAnsi="宋体" w:cs="宋体"/>
          <w:sz w:val="28"/>
          <w:szCs w:val="28"/>
        </w:rPr>
        <w:t>日止。协议到期将自动终止。</w:t>
      </w:r>
    </w:p>
    <w:p>
      <w:pPr>
        <w:pStyle w:val="15"/>
        <w:ind w:left="0"/>
        <w:rPr>
          <w:sz w:val="28"/>
          <w:szCs w:val="28"/>
        </w:rPr>
      </w:pPr>
    </w:p>
    <w:p>
      <w:pPr>
        <w:spacing w:line="360" w:lineRule="auto"/>
        <w:ind w:left="-1" w:leftChars="-1" w:hanging="1"/>
        <w:jc w:val="left"/>
        <w:rPr>
          <w:rFonts w:ascii="宋体" w:hAnsi="宋体" w:cs="宋体"/>
          <w:b/>
          <w:bCs/>
          <w:kern w:val="32"/>
          <w:sz w:val="28"/>
          <w:szCs w:val="28"/>
        </w:rPr>
      </w:pPr>
      <w:r>
        <w:rPr>
          <w:rFonts w:hint="eastAsia" w:ascii="宋体" w:hAnsi="宋体" w:cs="宋体"/>
          <w:b/>
          <w:bCs/>
          <w:kern w:val="32"/>
          <w:sz w:val="28"/>
          <w:szCs w:val="28"/>
        </w:rPr>
        <w:t>五、服务标准</w:t>
      </w:r>
    </w:p>
    <w:p>
      <w:pPr>
        <w:spacing w:line="360" w:lineRule="auto"/>
        <w:ind w:left="1394" w:leftChars="266" w:hanging="835" w:hangingChars="297"/>
        <w:rPr>
          <w:rFonts w:ascii="宋体" w:hAnsi="宋体" w:cs="宋体"/>
          <w:b/>
          <w:bCs/>
          <w:sz w:val="28"/>
          <w:szCs w:val="28"/>
        </w:rPr>
      </w:pPr>
      <w:r>
        <w:rPr>
          <w:rFonts w:hint="eastAsia" w:ascii="宋体" w:hAnsi="宋体" w:cs="宋体"/>
          <w:b/>
          <w:bCs/>
          <w:sz w:val="28"/>
          <w:szCs w:val="28"/>
        </w:rPr>
        <w:t>1、质量保证</w:t>
      </w:r>
    </w:p>
    <w:p>
      <w:pPr>
        <w:spacing w:line="288" w:lineRule="auto"/>
        <w:ind w:left="1110" w:leftChars="266" w:hanging="551" w:hangingChars="197"/>
        <w:rPr>
          <w:rFonts w:ascii="宋体" w:hAnsi="宋体" w:cs="宋体"/>
          <w:sz w:val="28"/>
          <w:szCs w:val="28"/>
        </w:rPr>
      </w:pPr>
      <w:r>
        <w:rPr>
          <w:rFonts w:hint="eastAsia" w:ascii="宋体" w:hAnsi="宋体" w:cs="宋体"/>
          <w:sz w:val="28"/>
          <w:szCs w:val="28"/>
        </w:rPr>
        <w:t>2.1、中标人必须</w:t>
      </w:r>
      <w:r>
        <w:rPr>
          <w:rFonts w:hint="eastAsia"/>
          <w:sz w:val="28"/>
          <w:szCs w:val="28"/>
        </w:rPr>
        <w:t>提供华为原厂标准</w:t>
      </w:r>
      <w:r>
        <w:rPr>
          <w:sz w:val="28"/>
          <w:szCs w:val="28"/>
        </w:rPr>
        <w:t>+</w:t>
      </w:r>
      <w:r>
        <w:rPr>
          <w:rFonts w:hint="eastAsia"/>
          <w:sz w:val="28"/>
          <w:szCs w:val="28"/>
        </w:rPr>
        <w:t>的高级维保服务，</w:t>
      </w:r>
      <w:r>
        <w:rPr>
          <w:rFonts w:hint="eastAsia" w:ascii="宋体" w:hAnsi="宋体" w:cs="宋体"/>
          <w:sz w:val="28"/>
          <w:szCs w:val="28"/>
        </w:rPr>
        <w:t>保证所有业务系统的正常运行，承诺在中标后</w:t>
      </w:r>
      <w:r>
        <w:rPr>
          <w:rFonts w:ascii="宋体" w:hAnsi="宋体" w:cs="宋体"/>
          <w:sz w:val="28"/>
          <w:szCs w:val="28"/>
        </w:rPr>
        <w:t>2</w:t>
      </w:r>
      <w:r>
        <w:rPr>
          <w:rFonts w:hint="eastAsia" w:ascii="宋体" w:hAnsi="宋体" w:cs="宋体"/>
          <w:sz w:val="28"/>
          <w:szCs w:val="28"/>
        </w:rPr>
        <w:t>个工作日内提供原厂售后服务承诺函。</w:t>
      </w:r>
    </w:p>
    <w:p>
      <w:pPr>
        <w:spacing w:line="360" w:lineRule="auto"/>
        <w:ind w:left="1394" w:leftChars="266" w:hanging="835" w:hangingChars="297"/>
        <w:rPr>
          <w:rFonts w:ascii="宋体" w:hAnsi="宋体" w:cs="宋体"/>
          <w:b/>
          <w:bCs/>
          <w:sz w:val="28"/>
          <w:szCs w:val="28"/>
        </w:rPr>
      </w:pPr>
      <w:r>
        <w:rPr>
          <w:rFonts w:ascii="宋体" w:hAnsi="宋体" w:cs="宋体"/>
          <w:b/>
          <w:bCs/>
          <w:sz w:val="28"/>
          <w:szCs w:val="28"/>
        </w:rPr>
        <w:t>2</w:t>
      </w:r>
      <w:r>
        <w:rPr>
          <w:rFonts w:hint="eastAsia" w:ascii="宋体" w:hAnsi="宋体" w:cs="宋体"/>
          <w:b/>
          <w:bCs/>
          <w:sz w:val="28"/>
          <w:szCs w:val="28"/>
        </w:rPr>
        <w:t>、服务要求</w:t>
      </w:r>
    </w:p>
    <w:p>
      <w:pPr>
        <w:spacing w:line="360" w:lineRule="auto"/>
        <w:ind w:left="830" w:leftChars="266" w:hanging="271" w:hangingChars="97"/>
        <w:rPr>
          <w:rFonts w:ascii="宋体" w:hAnsi="宋体" w:cs="宋体"/>
          <w:sz w:val="28"/>
          <w:szCs w:val="28"/>
        </w:rPr>
      </w:pPr>
      <w:r>
        <w:rPr>
          <w:rFonts w:hint="eastAsia" w:ascii="宋体" w:hAnsi="宋体" w:cs="宋体"/>
          <w:sz w:val="28"/>
          <w:szCs w:val="28"/>
        </w:rPr>
        <w:t>3.1、系统维护。</w:t>
      </w:r>
    </w:p>
    <w:p>
      <w:pPr>
        <w:spacing w:line="360" w:lineRule="auto"/>
        <w:ind w:left="830" w:leftChars="266" w:hanging="271" w:hangingChars="97"/>
        <w:rPr>
          <w:rFonts w:ascii="宋体" w:hAnsi="宋体" w:cs="宋体"/>
          <w:sz w:val="28"/>
          <w:szCs w:val="28"/>
        </w:rPr>
      </w:pPr>
      <w:r>
        <w:rPr>
          <w:rFonts w:hint="eastAsia" w:ascii="宋体" w:hAnsi="宋体" w:cs="宋体"/>
          <w:sz w:val="28"/>
          <w:szCs w:val="28"/>
        </w:rPr>
        <w:t>要求提交以下内容。</w:t>
      </w:r>
    </w:p>
    <w:p>
      <w:pPr>
        <w:spacing w:line="360" w:lineRule="auto"/>
        <w:ind w:left="1390" w:leftChars="266" w:hanging="831" w:hangingChars="297"/>
        <w:rPr>
          <w:rFonts w:ascii="宋体" w:hAnsi="宋体" w:cs="宋体"/>
          <w:sz w:val="28"/>
          <w:szCs w:val="28"/>
        </w:rPr>
      </w:pPr>
      <w:r>
        <w:rPr>
          <w:rFonts w:hint="eastAsia" w:ascii="宋体" w:hAnsi="宋体" w:cs="宋体"/>
          <w:sz w:val="28"/>
          <w:szCs w:val="28"/>
        </w:rPr>
        <w:t xml:space="preserve"> 1）定期维护巡查计划。</w:t>
      </w:r>
    </w:p>
    <w:p>
      <w:pPr>
        <w:spacing w:line="360" w:lineRule="auto"/>
        <w:ind w:left="833" w:leftChars="1" w:hanging="831" w:hangingChars="297"/>
        <w:rPr>
          <w:rFonts w:ascii="宋体" w:hAnsi="宋体" w:cs="宋体"/>
          <w:sz w:val="28"/>
          <w:szCs w:val="28"/>
        </w:rPr>
      </w:pPr>
      <w:r>
        <w:rPr>
          <w:rFonts w:hint="eastAsia" w:ascii="宋体" w:hAnsi="宋体" w:cs="宋体"/>
          <w:sz w:val="28"/>
          <w:szCs w:val="28"/>
        </w:rPr>
        <w:t xml:space="preserve">      2）对采购人不定期维护要求的响应措施。</w:t>
      </w:r>
    </w:p>
    <w:p>
      <w:pPr>
        <w:spacing w:line="360" w:lineRule="auto"/>
        <w:ind w:left="833" w:leftChars="1" w:hanging="831" w:hangingChars="297"/>
        <w:rPr>
          <w:rFonts w:ascii="宋体" w:hAnsi="宋体" w:cs="宋体"/>
          <w:sz w:val="28"/>
          <w:szCs w:val="28"/>
        </w:rPr>
      </w:pPr>
      <w:r>
        <w:rPr>
          <w:rFonts w:hint="eastAsia" w:ascii="宋体" w:hAnsi="宋体" w:cs="宋体"/>
          <w:sz w:val="28"/>
          <w:szCs w:val="28"/>
        </w:rPr>
        <w:t xml:space="preserve">      3）重要安播节点的保障响应措施。</w:t>
      </w:r>
    </w:p>
    <w:p>
      <w:pPr>
        <w:spacing w:line="360" w:lineRule="auto"/>
        <w:ind w:left="691" w:leftChars="200" w:hanging="271" w:hangingChars="97"/>
        <w:rPr>
          <w:rFonts w:ascii="宋体" w:hAnsi="宋体" w:cs="宋体"/>
          <w:sz w:val="28"/>
          <w:szCs w:val="28"/>
        </w:rPr>
      </w:pPr>
      <w:r>
        <w:rPr>
          <w:rFonts w:hint="eastAsia" w:ascii="宋体" w:hAnsi="宋体" w:cs="宋体"/>
          <w:sz w:val="28"/>
          <w:szCs w:val="28"/>
        </w:rPr>
        <w:t>3.2</w:t>
      </w:r>
      <w:r>
        <w:rPr>
          <w:rFonts w:hint="eastAsia" w:ascii="宋体" w:hAnsi="宋体" w:cs="宋体"/>
          <w:sz w:val="28"/>
          <w:szCs w:val="28"/>
        </w:rPr>
        <w:tab/>
      </w:r>
      <w:r>
        <w:rPr>
          <w:rFonts w:hint="eastAsia" w:ascii="宋体" w:hAnsi="宋体" w:cs="宋体"/>
          <w:sz w:val="28"/>
          <w:szCs w:val="28"/>
        </w:rPr>
        <w:t>、技术支持</w:t>
      </w:r>
    </w:p>
    <w:p>
      <w:pPr>
        <w:spacing w:line="360" w:lineRule="auto"/>
        <w:ind w:left="833" w:leftChars="1" w:hanging="831" w:hangingChars="297"/>
        <w:rPr>
          <w:rFonts w:ascii="宋体" w:hAnsi="宋体" w:cs="宋体"/>
          <w:sz w:val="28"/>
          <w:szCs w:val="28"/>
        </w:rPr>
      </w:pPr>
      <w:r>
        <w:rPr>
          <w:rFonts w:hint="eastAsia" w:ascii="宋体" w:hAnsi="宋体" w:cs="宋体"/>
          <w:sz w:val="28"/>
          <w:szCs w:val="28"/>
        </w:rPr>
        <w:t xml:space="preserve">      1）提供7×24小时的技术咨询服务。</w:t>
      </w:r>
    </w:p>
    <w:p>
      <w:pPr>
        <w:spacing w:line="360" w:lineRule="auto"/>
        <w:ind w:left="833" w:leftChars="1" w:hanging="831" w:hangingChars="297"/>
        <w:rPr>
          <w:rFonts w:ascii="宋体" w:hAnsi="宋体" w:cs="宋体"/>
          <w:sz w:val="28"/>
          <w:szCs w:val="28"/>
        </w:rPr>
      </w:pPr>
      <w:r>
        <w:rPr>
          <w:rFonts w:hint="eastAsia" w:ascii="宋体" w:hAnsi="宋体" w:cs="宋体"/>
          <w:sz w:val="28"/>
          <w:szCs w:val="28"/>
        </w:rPr>
        <w:t xml:space="preserve">      2）敏感时期、重大节假日提供技术人员值守服务。</w:t>
      </w:r>
    </w:p>
    <w:p>
      <w:pPr>
        <w:spacing w:line="360" w:lineRule="auto"/>
        <w:ind w:left="691" w:leftChars="200" w:hanging="271" w:hangingChars="97"/>
        <w:rPr>
          <w:rFonts w:ascii="宋体" w:hAnsi="宋体" w:cs="宋体"/>
          <w:sz w:val="28"/>
          <w:szCs w:val="28"/>
        </w:rPr>
      </w:pPr>
      <w:r>
        <w:rPr>
          <w:rFonts w:hint="eastAsia" w:ascii="宋体" w:hAnsi="宋体" w:cs="宋体"/>
          <w:sz w:val="28"/>
          <w:szCs w:val="28"/>
        </w:rPr>
        <w:t>3.3</w:t>
      </w:r>
      <w:r>
        <w:rPr>
          <w:rFonts w:hint="eastAsia" w:ascii="宋体" w:hAnsi="宋体" w:cs="宋体"/>
          <w:sz w:val="28"/>
          <w:szCs w:val="28"/>
        </w:rPr>
        <w:tab/>
      </w:r>
      <w:r>
        <w:rPr>
          <w:rFonts w:hint="eastAsia" w:ascii="宋体" w:hAnsi="宋体" w:cs="宋体"/>
          <w:sz w:val="28"/>
          <w:szCs w:val="28"/>
        </w:rPr>
        <w:t>、故障响应</w:t>
      </w:r>
    </w:p>
    <w:p>
      <w:pPr>
        <w:spacing w:line="360" w:lineRule="auto"/>
        <w:rPr>
          <w:rFonts w:ascii="宋体" w:hAnsi="宋体" w:cs="宋体"/>
          <w:sz w:val="28"/>
          <w:szCs w:val="28"/>
        </w:rPr>
      </w:pPr>
      <w:r>
        <w:rPr>
          <w:rFonts w:hint="eastAsia" w:ascii="宋体" w:hAnsi="宋体" w:cs="宋体"/>
          <w:sz w:val="28"/>
          <w:szCs w:val="28"/>
        </w:rPr>
        <w:t xml:space="preserve">      1）提供7×24小时的故障服务受理。</w:t>
      </w:r>
    </w:p>
    <w:p>
      <w:pPr>
        <w:spacing w:line="360" w:lineRule="auto"/>
        <w:ind w:firstLine="826" w:firstLineChars="295"/>
        <w:rPr>
          <w:rFonts w:ascii="宋体" w:hAnsi="宋体" w:cs="宋体"/>
          <w:sz w:val="28"/>
          <w:szCs w:val="28"/>
        </w:rPr>
      </w:pPr>
      <w:r>
        <w:rPr>
          <w:rFonts w:hint="eastAsia" w:ascii="宋体" w:hAnsi="宋体" w:cs="宋体"/>
          <w:sz w:val="28"/>
          <w:szCs w:val="28"/>
        </w:rPr>
        <w:t>2）备件服务：遇到重大故障，提供系统所需更换的任何备件。</w:t>
      </w:r>
    </w:p>
    <w:p>
      <w:pPr>
        <w:spacing w:line="360" w:lineRule="auto"/>
        <w:ind w:firstLine="840" w:firstLineChars="300"/>
        <w:rPr>
          <w:rFonts w:ascii="宋体" w:hAnsi="宋体" w:cs="宋体"/>
          <w:sz w:val="28"/>
          <w:szCs w:val="28"/>
        </w:rPr>
      </w:pPr>
      <w:r>
        <w:rPr>
          <w:rFonts w:hint="eastAsia" w:ascii="宋体" w:hAnsi="宋体" w:cs="宋体"/>
          <w:sz w:val="28"/>
          <w:szCs w:val="28"/>
        </w:rPr>
        <w:t>3）服务响应时间在接到通知后2小时内赶到现场。</w:t>
      </w:r>
    </w:p>
    <w:p>
      <w:pPr>
        <w:spacing w:line="360" w:lineRule="auto"/>
        <w:ind w:left="691" w:leftChars="200" w:hanging="271" w:hangingChars="97"/>
        <w:rPr>
          <w:rFonts w:ascii="宋体" w:hAnsi="宋体" w:cs="宋体"/>
          <w:sz w:val="28"/>
          <w:szCs w:val="28"/>
        </w:rPr>
      </w:pPr>
      <w:r>
        <w:rPr>
          <w:rFonts w:hint="eastAsia" w:ascii="宋体" w:hAnsi="宋体" w:cs="宋体"/>
          <w:sz w:val="28"/>
          <w:szCs w:val="28"/>
        </w:rPr>
        <w:t>3.4</w:t>
      </w:r>
      <w:r>
        <w:rPr>
          <w:rFonts w:hint="eastAsia" w:ascii="宋体" w:hAnsi="宋体" w:cs="宋体"/>
          <w:sz w:val="28"/>
          <w:szCs w:val="28"/>
        </w:rPr>
        <w:tab/>
      </w:r>
      <w:r>
        <w:rPr>
          <w:rFonts w:hint="eastAsia" w:ascii="宋体" w:hAnsi="宋体" w:cs="宋体"/>
          <w:sz w:val="28"/>
          <w:szCs w:val="28"/>
        </w:rPr>
        <w:t>、维保期内出现任何系统问题（人为破坏或自然灾害等不可抗力除外），由中标人负责全免费（免全部工时费、材料费、管理费、财务费等等）更换或升级服务。</w:t>
      </w:r>
    </w:p>
    <w:p>
      <w:pPr>
        <w:spacing w:after="120"/>
        <w:ind w:left="420" w:leftChars="200" w:firstLine="560" w:firstLineChars="200"/>
        <w:rPr>
          <w:sz w:val="28"/>
          <w:szCs w:val="28"/>
        </w:rPr>
      </w:pPr>
    </w:p>
    <w:p>
      <w:pPr>
        <w:numPr>
          <w:ilvl w:val="0"/>
          <w:numId w:val="1"/>
        </w:numPr>
        <w:spacing w:line="360" w:lineRule="auto"/>
        <w:jc w:val="left"/>
        <w:rPr>
          <w:rFonts w:ascii="宋体" w:hAnsi="宋体"/>
          <w:b/>
          <w:bCs/>
          <w:kern w:val="32"/>
          <w:sz w:val="28"/>
          <w:szCs w:val="28"/>
        </w:rPr>
      </w:pPr>
      <w:r>
        <w:rPr>
          <w:rFonts w:hint="eastAsia" w:ascii="宋体" w:hAnsi="宋体"/>
          <w:b/>
          <w:bCs/>
          <w:kern w:val="32"/>
          <w:sz w:val="28"/>
          <w:szCs w:val="28"/>
        </w:rPr>
        <w:t>验收标准</w:t>
      </w:r>
    </w:p>
    <w:p>
      <w:pPr>
        <w:spacing w:line="360" w:lineRule="auto"/>
        <w:ind w:left="223" w:leftChars="102" w:hanging="9"/>
        <w:rPr>
          <w:rFonts w:ascii="宋体" w:hAnsi="宋体" w:cs="宋体"/>
          <w:sz w:val="28"/>
          <w:szCs w:val="28"/>
        </w:rPr>
      </w:pPr>
      <w:r>
        <w:rPr>
          <w:rFonts w:hint="eastAsia" w:ascii="宋体" w:hAnsi="宋体" w:cs="宋体"/>
          <w:b/>
          <w:bCs/>
          <w:sz w:val="28"/>
          <w:szCs w:val="28"/>
        </w:rPr>
        <w:t>1、</w:t>
      </w:r>
      <w:r>
        <w:rPr>
          <w:rFonts w:hint="eastAsia" w:ascii="宋体" w:hAnsi="宋体" w:cs="宋体"/>
          <w:sz w:val="28"/>
          <w:szCs w:val="28"/>
        </w:rPr>
        <w:t>项目验收国家有强制性规定的，按国家规定执行，验收报告作为申请付款的凭证之一。</w:t>
      </w:r>
    </w:p>
    <w:p>
      <w:pPr>
        <w:spacing w:line="360" w:lineRule="auto"/>
        <w:ind w:left="223" w:leftChars="102" w:hanging="9"/>
        <w:rPr>
          <w:rFonts w:ascii="宋体" w:hAnsi="宋体" w:cs="宋体"/>
          <w:sz w:val="28"/>
          <w:szCs w:val="28"/>
        </w:rPr>
      </w:pPr>
      <w:r>
        <w:rPr>
          <w:rFonts w:hint="eastAsia" w:ascii="宋体" w:hAnsi="宋体" w:cs="宋体"/>
          <w:b/>
          <w:bCs/>
          <w:sz w:val="28"/>
          <w:szCs w:val="28"/>
        </w:rPr>
        <w:t>2、</w:t>
      </w:r>
      <w:r>
        <w:rPr>
          <w:rFonts w:hint="eastAsia" w:ascii="宋体" w:hAnsi="宋体" w:cs="宋体"/>
          <w:sz w:val="28"/>
          <w:szCs w:val="28"/>
        </w:rPr>
        <w:t>验收过程中产生纠纷的，由具有资质的相关质检机构进行检测,如为中标人原因造成的，由中标人承担检测费用；否则，由采购人承担。</w:t>
      </w:r>
    </w:p>
    <w:p>
      <w:pPr>
        <w:spacing w:line="360" w:lineRule="auto"/>
        <w:ind w:left="223" w:leftChars="102" w:hanging="9"/>
        <w:rPr>
          <w:rFonts w:ascii="宋体" w:hAnsi="宋体" w:cs="宋体"/>
          <w:sz w:val="28"/>
          <w:szCs w:val="28"/>
        </w:rPr>
      </w:pPr>
      <w:r>
        <w:rPr>
          <w:rFonts w:hint="eastAsia" w:ascii="宋体" w:hAnsi="宋体" w:cs="宋体"/>
          <w:b/>
          <w:bCs/>
          <w:sz w:val="28"/>
          <w:szCs w:val="28"/>
        </w:rPr>
        <w:t>3、</w:t>
      </w:r>
      <w:r>
        <w:rPr>
          <w:rFonts w:hint="eastAsia" w:ascii="宋体" w:hAnsi="宋体" w:cs="宋体"/>
          <w:sz w:val="28"/>
          <w:szCs w:val="28"/>
        </w:rPr>
        <w:t>项目验收不合格，由中标人返工直至合格，有关返工、再行验收，以及给采购人造成的损失等费用由中标人承担。连续两次项目验收不合格的，采购人可终止合同，另行按规定选择其他供应商采购，由此带来的一切损失由中标人承担。</w:t>
      </w:r>
    </w:p>
    <w:p>
      <w:pPr>
        <w:spacing w:line="360" w:lineRule="auto"/>
        <w:ind w:left="223" w:leftChars="102" w:hanging="9"/>
        <w:rPr>
          <w:rFonts w:ascii="宋体" w:hAnsi="宋体" w:cs="宋体"/>
          <w:sz w:val="28"/>
          <w:szCs w:val="28"/>
        </w:rPr>
      </w:pPr>
      <w:r>
        <w:rPr>
          <w:rFonts w:hint="eastAsia" w:ascii="宋体" w:hAnsi="宋体" w:cs="宋体"/>
          <w:b/>
          <w:bCs/>
          <w:sz w:val="28"/>
          <w:szCs w:val="28"/>
        </w:rPr>
        <w:t>4、</w:t>
      </w:r>
      <w:r>
        <w:rPr>
          <w:rFonts w:hint="eastAsia" w:ascii="宋体" w:hAnsi="宋体" w:cs="宋体"/>
          <w:sz w:val="28"/>
          <w:szCs w:val="28"/>
        </w:rPr>
        <w:t>验收方式：按政府采购的简易验收程序验收。</w:t>
      </w:r>
    </w:p>
    <w:p>
      <w:pPr>
        <w:spacing w:line="360" w:lineRule="auto"/>
        <w:ind w:left="223" w:leftChars="102" w:hanging="9"/>
        <w:rPr>
          <w:rFonts w:ascii="宋体" w:hAnsi="宋体" w:cs="宋体"/>
          <w:sz w:val="28"/>
          <w:szCs w:val="28"/>
        </w:rPr>
      </w:pPr>
      <w:r>
        <w:rPr>
          <w:rFonts w:hint="eastAsia" w:ascii="宋体" w:hAnsi="宋体" w:cs="宋体"/>
          <w:sz w:val="28"/>
          <w:szCs w:val="28"/>
        </w:rPr>
        <w:t>5、验收前，投标人需出具由采购人签字确认的已进行维护维修，系统无故障、质量检查合格的确认函后方可验收。</w:t>
      </w:r>
    </w:p>
    <w:p>
      <w:pPr>
        <w:spacing w:after="120"/>
        <w:ind w:left="420" w:leftChars="200" w:firstLine="560" w:firstLineChars="200"/>
        <w:rPr>
          <w:sz w:val="28"/>
          <w:szCs w:val="28"/>
        </w:rPr>
      </w:pPr>
    </w:p>
    <w:p>
      <w:pPr>
        <w:numPr>
          <w:ilvl w:val="0"/>
          <w:numId w:val="1"/>
        </w:numPr>
        <w:spacing w:line="360" w:lineRule="auto"/>
        <w:rPr>
          <w:rFonts w:ascii="宋体" w:hAnsi="宋体"/>
          <w:b/>
          <w:bCs/>
          <w:kern w:val="32"/>
          <w:sz w:val="28"/>
          <w:szCs w:val="28"/>
        </w:rPr>
      </w:pPr>
      <w:r>
        <w:rPr>
          <w:rFonts w:hint="eastAsia" w:ascii="宋体" w:hAnsi="宋体"/>
          <w:b/>
          <w:bCs/>
          <w:kern w:val="32"/>
          <w:sz w:val="28"/>
          <w:szCs w:val="28"/>
        </w:rPr>
        <w:t>其他要求</w:t>
      </w:r>
    </w:p>
    <w:p>
      <w:pPr>
        <w:numPr>
          <w:ilvl w:val="0"/>
          <w:numId w:val="4"/>
        </w:numPr>
        <w:spacing w:line="360" w:lineRule="auto"/>
        <w:rPr>
          <w:rFonts w:ascii="宋体" w:hAnsi="宋体" w:cs="宋体"/>
          <w:b/>
          <w:bCs/>
          <w:sz w:val="28"/>
          <w:szCs w:val="28"/>
        </w:rPr>
      </w:pPr>
      <w:r>
        <w:rPr>
          <w:rFonts w:ascii="宋体" w:hAnsi="宋体" w:cs="宋体"/>
          <w:b/>
          <w:bCs/>
          <w:sz w:val="28"/>
          <w:szCs w:val="28"/>
        </w:rPr>
        <w:t>结算方法</w:t>
      </w:r>
    </w:p>
    <w:p>
      <w:pPr>
        <w:spacing w:line="360" w:lineRule="auto"/>
        <w:ind w:left="542"/>
        <w:rPr>
          <w:rFonts w:ascii="Calibri" w:hAnsi="Calibri" w:cs="宋体"/>
          <w:sz w:val="28"/>
          <w:szCs w:val="28"/>
        </w:rPr>
      </w:pPr>
      <w:r>
        <w:rPr>
          <w:rFonts w:ascii="宋体" w:hAnsi="宋体" w:cs="宋体"/>
          <w:sz w:val="28"/>
          <w:szCs w:val="28"/>
        </w:rPr>
        <w:t>1.1、甲方付款前乙方应向甲方提供等额的服务费税务发票。</w:t>
      </w:r>
    </w:p>
    <w:p>
      <w:pPr>
        <w:spacing w:line="360" w:lineRule="auto"/>
        <w:ind w:left="542"/>
        <w:rPr>
          <w:rFonts w:ascii="Calibri" w:hAnsi="Calibri" w:cs="宋体"/>
          <w:sz w:val="28"/>
          <w:szCs w:val="28"/>
        </w:rPr>
      </w:pPr>
      <w:r>
        <w:rPr>
          <w:rFonts w:ascii="宋体" w:hAnsi="宋体" w:cs="宋体"/>
          <w:sz w:val="28"/>
          <w:szCs w:val="28"/>
        </w:rPr>
        <w:t>1.2、结算方式：以合同签订为准</w:t>
      </w:r>
    </w:p>
    <w:p>
      <w:pPr>
        <w:spacing w:line="360" w:lineRule="auto"/>
        <w:ind w:left="534" w:leftChars="2" w:hanging="530"/>
        <w:rPr>
          <w:rFonts w:ascii="宋体" w:hAnsi="宋体" w:cs="宋体"/>
          <w:bCs/>
          <w:sz w:val="28"/>
          <w:szCs w:val="28"/>
        </w:rPr>
      </w:pPr>
      <w:r>
        <w:rPr>
          <w:rFonts w:hint="eastAsia" w:ascii="宋体" w:hAnsi="宋体" w:cs="宋体"/>
          <w:b/>
          <w:bCs/>
          <w:sz w:val="28"/>
          <w:szCs w:val="28"/>
        </w:rPr>
        <w:t>2、</w:t>
      </w:r>
      <w:r>
        <w:rPr>
          <w:rFonts w:hint="eastAsia" w:ascii="宋体" w:hAnsi="宋体" w:cs="宋体"/>
          <w:bCs/>
          <w:sz w:val="28"/>
          <w:szCs w:val="28"/>
        </w:rPr>
        <w:t>本项目采用费用包干方式，供应商应根据项目要求和现场情况，详细列明项目所需的货物及材料，以及产品运输、保险、保管、质保期免费保修、维护等产生的所有费用，一旦中标，在项目实施中出现任何遗漏，均由中标人免费提供，采购人不再支付任何费用。</w:t>
      </w:r>
    </w:p>
    <w:p>
      <w:pPr>
        <w:numPr>
          <w:ilvl w:val="0"/>
          <w:numId w:val="1"/>
        </w:numPr>
        <w:ind w:left="0"/>
        <w:rPr>
          <w:sz w:val="28"/>
          <w:szCs w:val="28"/>
        </w:rPr>
      </w:pPr>
      <w:r>
        <w:rPr>
          <w:rFonts w:hint="eastAsia" w:ascii="宋体" w:hAnsi="宋体"/>
          <w:b/>
          <w:bCs/>
          <w:kern w:val="32"/>
          <w:sz w:val="28"/>
          <w:szCs w:val="28"/>
        </w:rPr>
        <w:t>对于上述项目要求，供应商应在响应文件中逐条回应，作出承诺及说明。</w:t>
      </w:r>
    </w:p>
    <w:p>
      <w:pPr>
        <w:rPr>
          <w:sz w:val="28"/>
          <w:szCs w:val="28"/>
        </w:rPr>
      </w:pPr>
      <w:r>
        <w:rPr>
          <w:rFonts w:ascii="黑体" w:eastAsia="黑体"/>
          <w:b/>
          <w:sz w:val="28"/>
          <w:szCs w:val="28"/>
        </w:rPr>
        <w:br w:type="page"/>
      </w:r>
    </w:p>
    <w:sectPr>
      <w:pgSz w:w="11906" w:h="16838"/>
      <w:pgMar w:top="1440" w:right="1800" w:bottom="1440" w:left="18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9E596"/>
    <w:multiLevelType w:val="singleLevel"/>
    <w:tmpl w:val="1CA9E596"/>
    <w:lvl w:ilvl="0" w:tentative="0">
      <w:start w:val="1"/>
      <w:numFmt w:val="decimal"/>
      <w:lvlText w:val="%1."/>
      <w:lvlJc w:val="left"/>
      <w:pPr>
        <w:ind w:left="425" w:hanging="425"/>
      </w:pPr>
      <w:rPr>
        <w:rFonts w:hint="default"/>
        <w:b/>
        <w:bCs/>
      </w:rPr>
    </w:lvl>
  </w:abstractNum>
  <w:abstractNum w:abstractNumId="1">
    <w:nsid w:val="2F092DDB"/>
    <w:multiLevelType w:val="multilevel"/>
    <w:tmpl w:val="2F092DDB"/>
    <w:lvl w:ilvl="0" w:tentative="0">
      <w:start w:val="1"/>
      <w:numFmt w:val="decimal"/>
      <w:lvlText w:val="%1、"/>
      <w:lvlJc w:val="left"/>
      <w:pPr>
        <w:ind w:left="542" w:hanging="540"/>
      </w:pPr>
      <w:rPr>
        <w:rFonts w:hint="default"/>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2">
    <w:nsid w:val="57383C27"/>
    <w:multiLevelType w:val="multilevel"/>
    <w:tmpl w:val="57383C2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9785233"/>
    <w:multiLevelType w:val="multilevel"/>
    <w:tmpl w:val="79785233"/>
    <w:lvl w:ilvl="0" w:tentative="0">
      <w:start w:val="1"/>
      <w:numFmt w:val="decimal"/>
      <w:lvlText w:val="%1、"/>
      <w:lvlJc w:val="left"/>
      <w:pPr>
        <w:ind w:left="956" w:hanging="390"/>
      </w:pPr>
      <w:rPr>
        <w:rFonts w:hint="default"/>
      </w:r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yNzFjMTI1OGI4MDNmNmU1Y2NmODFmNjYyMmI3ZTQifQ=="/>
  </w:docVars>
  <w:rsids>
    <w:rsidRoot w:val="00DA4AAD"/>
    <w:rsid w:val="0004623F"/>
    <w:rsid w:val="00066934"/>
    <w:rsid w:val="000826D9"/>
    <w:rsid w:val="000F5E8D"/>
    <w:rsid w:val="00106E8F"/>
    <w:rsid w:val="00213F3C"/>
    <w:rsid w:val="00330F94"/>
    <w:rsid w:val="00341B3F"/>
    <w:rsid w:val="00345FCA"/>
    <w:rsid w:val="00354014"/>
    <w:rsid w:val="003A7E8B"/>
    <w:rsid w:val="003D2A0F"/>
    <w:rsid w:val="003E1789"/>
    <w:rsid w:val="00441CFA"/>
    <w:rsid w:val="00466EDD"/>
    <w:rsid w:val="0047060F"/>
    <w:rsid w:val="00486EA0"/>
    <w:rsid w:val="004A12A1"/>
    <w:rsid w:val="004A48A8"/>
    <w:rsid w:val="00515B70"/>
    <w:rsid w:val="00592A8D"/>
    <w:rsid w:val="0068639C"/>
    <w:rsid w:val="00757C83"/>
    <w:rsid w:val="0084022B"/>
    <w:rsid w:val="00871C30"/>
    <w:rsid w:val="00926670"/>
    <w:rsid w:val="009839E8"/>
    <w:rsid w:val="009A0541"/>
    <w:rsid w:val="009B7DD9"/>
    <w:rsid w:val="00A204FA"/>
    <w:rsid w:val="00A54565"/>
    <w:rsid w:val="00AE5C50"/>
    <w:rsid w:val="00AF79E2"/>
    <w:rsid w:val="00B40965"/>
    <w:rsid w:val="00B96809"/>
    <w:rsid w:val="00BF75F8"/>
    <w:rsid w:val="00CA12AB"/>
    <w:rsid w:val="00D067C5"/>
    <w:rsid w:val="00D86BFB"/>
    <w:rsid w:val="00D96ACF"/>
    <w:rsid w:val="00DA4AAD"/>
    <w:rsid w:val="00E273CF"/>
    <w:rsid w:val="00E27760"/>
    <w:rsid w:val="00E55B13"/>
    <w:rsid w:val="00F14614"/>
    <w:rsid w:val="00FA2C07"/>
    <w:rsid w:val="499E1361"/>
    <w:rsid w:val="5700765F"/>
    <w:rsid w:val="70943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3">
    <w:name w:val="Normal Indent"/>
    <w:basedOn w:val="1"/>
    <w:semiHidden/>
    <w:unhideWhenUsed/>
    <w:qFormat/>
    <w:uiPriority w:val="99"/>
    <w:pPr>
      <w:ind w:firstLine="420" w:firstLineChars="200"/>
    </w:pPr>
  </w:style>
  <w:style w:type="paragraph" w:styleId="4">
    <w:name w:val="Body Text Indent"/>
    <w:basedOn w:val="1"/>
    <w:link w:val="17"/>
    <w:semiHidden/>
    <w:unhideWhenUsed/>
    <w:uiPriority w:val="99"/>
    <w:pPr>
      <w:spacing w:after="120"/>
      <w:ind w:left="420" w:leftChars="200"/>
    </w:p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Body Text First Indent 2"/>
    <w:basedOn w:val="4"/>
    <w:link w:val="14"/>
    <w:semiHidden/>
    <w:unhideWhenUsed/>
    <w:uiPriority w:val="99"/>
    <w:pPr>
      <w:ind w:firstLine="420" w:firstLineChars="200"/>
    </w:pPr>
    <w:rPr>
      <w:rFonts w:asciiTheme="minorHAnsi" w:hAnsiTheme="minorHAnsi" w:cstheme="minorBidi"/>
    </w:rPr>
  </w:style>
  <w:style w:type="character" w:customStyle="1" w:styleId="9">
    <w:name w:val="页眉 字符"/>
    <w:basedOn w:val="8"/>
    <w:link w:val="2"/>
    <w:uiPriority w:val="99"/>
    <w:rPr>
      <w:sz w:val="18"/>
      <w:szCs w:val="18"/>
    </w:rPr>
  </w:style>
  <w:style w:type="character" w:customStyle="1" w:styleId="10">
    <w:name w:val="页脚 字符"/>
    <w:basedOn w:val="8"/>
    <w:link w:val="5"/>
    <w:uiPriority w:val="99"/>
    <w:rPr>
      <w:sz w:val="18"/>
      <w:szCs w:val="18"/>
    </w:rPr>
  </w:style>
  <w:style w:type="character" w:customStyle="1" w:styleId="11">
    <w:name w:val="列表段落 字符"/>
    <w:link w:val="12"/>
    <w:uiPriority w:val="0"/>
    <w:rPr>
      <w:rFonts w:ascii="Calibri" w:hAnsi="Calibri" w:eastAsia="宋体" w:cs="Calibri"/>
      <w:kern w:val="2"/>
      <w:sz w:val="21"/>
      <w:szCs w:val="21"/>
      <w:lang w:val="en-US" w:eastAsia="zh-CN" w:bidi="ar-SA"/>
    </w:rPr>
  </w:style>
  <w:style w:type="paragraph" w:styleId="12">
    <w:name w:val="List Paragraph"/>
    <w:basedOn w:val="1"/>
    <w:link w:val="11"/>
    <w:qFormat/>
    <w:uiPriority w:val="0"/>
    <w:pPr>
      <w:ind w:firstLine="420" w:firstLineChars="200"/>
    </w:pPr>
    <w:rPr>
      <w:rFonts w:ascii="Calibri" w:hAnsi="Calibri" w:cs="Calibri"/>
      <w:szCs w:val="21"/>
    </w:rPr>
  </w:style>
  <w:style w:type="paragraph" w:customStyle="1" w:styleId="13">
    <w:name w:val="_Style 8"/>
    <w:basedOn w:val="4"/>
    <w:next w:val="3"/>
    <w:qFormat/>
    <w:uiPriority w:val="99"/>
    <w:pPr>
      <w:ind w:firstLine="420" w:firstLineChars="200"/>
    </w:pPr>
  </w:style>
  <w:style w:type="character" w:customStyle="1" w:styleId="14">
    <w:name w:val="正文文本首行缩进 2 字符1"/>
    <w:link w:val="6"/>
    <w:uiPriority w:val="99"/>
    <w:rPr>
      <w:rFonts w:eastAsia="宋体"/>
      <w:kern w:val="2"/>
      <w:sz w:val="21"/>
      <w:szCs w:val="24"/>
      <w:lang w:val="en-US" w:eastAsia="zh-CN"/>
    </w:rPr>
  </w:style>
  <w:style w:type="paragraph" w:customStyle="1" w:styleId="15">
    <w:name w:val="目录 81"/>
    <w:basedOn w:val="1"/>
    <w:next w:val="1"/>
    <w:qFormat/>
    <w:uiPriority w:val="0"/>
    <w:pPr>
      <w:ind w:left="2940"/>
    </w:pPr>
  </w:style>
  <w:style w:type="paragraph" w:customStyle="1" w:styleId="16">
    <w:name w:val="缺省文本:1"/>
    <w:basedOn w:val="1"/>
    <w:qFormat/>
    <w:uiPriority w:val="99"/>
    <w:pPr>
      <w:autoSpaceDE w:val="0"/>
      <w:autoSpaceDN w:val="0"/>
      <w:adjustRightInd w:val="0"/>
      <w:spacing w:line="480" w:lineRule="exact"/>
      <w:jc w:val="left"/>
    </w:pPr>
    <w:rPr>
      <w:rFonts w:ascii="宋体" w:cs="宋体"/>
      <w:kern w:val="0"/>
      <w:sz w:val="24"/>
    </w:rPr>
  </w:style>
  <w:style w:type="character" w:customStyle="1" w:styleId="17">
    <w:name w:val="正文文本缩进 字符"/>
    <w:basedOn w:val="8"/>
    <w:link w:val="4"/>
    <w:semiHidden/>
    <w:qFormat/>
    <w:uiPriority w:val="99"/>
    <w:rPr>
      <w:rFonts w:ascii="Times New Roman" w:hAnsi="Times New Roman" w:eastAsia="宋体" w:cs="Times New Roman"/>
      <w:szCs w:val="24"/>
    </w:rPr>
  </w:style>
  <w:style w:type="character" w:customStyle="1" w:styleId="18">
    <w:name w:val="正文文本首行缩进 2 字符"/>
    <w:basedOn w:val="17"/>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31D53-2321-4574-9664-2D75AEECEAFE}">
  <ds:schemaRefs/>
</ds:datastoreItem>
</file>

<file path=docProps/app.xml><?xml version="1.0" encoding="utf-8"?>
<Properties xmlns="http://schemas.openxmlformats.org/officeDocument/2006/extended-properties" xmlns:vt="http://schemas.openxmlformats.org/officeDocument/2006/docPropsVTypes">
  <Template>Normal</Template>
  <Pages>6</Pages>
  <Words>1695</Words>
  <Characters>1734</Characters>
  <Lines>13</Lines>
  <Paragraphs>3</Paragraphs>
  <TotalTime>142</TotalTime>
  <ScaleCrop>false</ScaleCrop>
  <LinksUpToDate>false</LinksUpToDate>
  <CharactersWithSpaces>1777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2022-12-09T02:44:00Z</dcterms:created>
  <dc:creator>he jeson</dc:creator>
  <cp:lastModifiedBy>谢谣涯</cp:lastModifiedBy>
  <dcterms:modified xsi:type="dcterms:W3CDTF">2022-12-15T09:05:27Z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BEC1E2574D544015B4ED10407AB47455</vt:lpwstr>
  </property>
</Properties>
</file>