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fill="FFFFFF"/>
          <w:lang w:eastAsia="zh-CN"/>
        </w:rPr>
        <w:t>星天公司广电大厦及机关院落物业服务外包项目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fill="FFFFFF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fill="FFFFFF"/>
          <w:lang w:eastAsia="zh-CN"/>
        </w:rPr>
        <w:t>公告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星天公司广电大厦及机关院落物业服务外包项目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竞争性磋商采购项目于202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04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04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日结束，现将中标（成交）结果公告如下： 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一、采购项目名称、编号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采购项目名称：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星天公司广电大厦及机关院落物业服务外包项目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政府采购计划编号：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 xml:space="preserve"> /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代理机构名称：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鼎正工程咨询股份有限公司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采购项目编号：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DZZX-HN-CGCS2023008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采购项目总预算：565200.00 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采购预算控制价：565200.00元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采购项目内容与数量： </w:t>
      </w:r>
    </w:p>
    <w:tbl>
      <w:tblPr>
        <w:tblStyle w:val="6"/>
        <w:tblW w:w="81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359"/>
        <w:gridCol w:w="3167"/>
        <w:gridCol w:w="1776"/>
        <w:gridCol w:w="10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包号</w:t>
            </w:r>
          </w:p>
        </w:tc>
        <w:tc>
          <w:tcPr>
            <w:tcW w:w="13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品目分类</w:t>
            </w:r>
          </w:p>
        </w:tc>
        <w:tc>
          <w:tcPr>
            <w:tcW w:w="3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标的名称</w:t>
            </w:r>
          </w:p>
        </w:tc>
        <w:tc>
          <w:tcPr>
            <w:tcW w:w="17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简要技术要求</w:t>
            </w:r>
          </w:p>
        </w:tc>
        <w:tc>
          <w:tcPr>
            <w:tcW w:w="1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详见磋商文件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星天公司广电大厦及机关院落物业服务外包项目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详见磋商文件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二、供应商来源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邀请供应商的情况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1、供应商产生方式：（√）公告邀请 （ ）供应商库抽取 （ ）采购人、专家推荐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三、磋商情况 </w:t>
      </w:r>
    </w:p>
    <w:tbl>
      <w:tblPr>
        <w:tblStyle w:val="6"/>
        <w:tblW w:w="859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2210"/>
        <w:gridCol w:w="1484"/>
        <w:gridCol w:w="1107"/>
        <w:gridCol w:w="873"/>
        <w:gridCol w:w="21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序号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供应商信息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最终报价(元)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评分</w:t>
            </w:r>
          </w:p>
        </w:tc>
        <w:tc>
          <w:tcPr>
            <w:tcW w:w="8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排名</w:t>
            </w:r>
          </w:p>
        </w:tc>
        <w:tc>
          <w:tcPr>
            <w:tcW w:w="2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评审结果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湖南润恒环境管理有限公司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561180.00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95.32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第一成交候选人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湖南逸欣环境服务集团有限公司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562211.28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92.63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  <w:t>第二成交候选人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360" w:lineRule="auto"/>
              <w:jc w:val="center"/>
              <w:textAlignment w:val="center"/>
              <w:rPr>
                <w:rFonts w:hint="default" w:ascii="等线" w:hAnsi="等线" w:eastAsia="宋体" w:cs="等线"/>
                <w:sz w:val="21"/>
                <w:szCs w:val="21"/>
                <w:lang w:val="en-US" w:eastAsia="zh-CN"/>
              </w:rPr>
            </w:pPr>
            <w:r>
              <w:rPr>
                <w:rFonts w:hint="default" w:ascii="等线" w:hAnsi="等线" w:eastAsia="宋体" w:cs="等线"/>
                <w:sz w:val="21"/>
                <w:szCs w:val="21"/>
                <w:lang w:val="en-US" w:eastAsia="zh-CN"/>
              </w:rPr>
              <w:t>长沙和气物业管理有限公司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561094.56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71.33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第三成交候选人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四、中标（成交）供应商及主要标的信息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中标供应商：</w:t>
      </w:r>
      <w:r>
        <w:rPr>
          <w:rFonts w:hint="default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湖南润恒环境管理有限公司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成交金额 ：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561180.00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地址：</w:t>
      </w:r>
      <w:bookmarkStart w:id="0" w:name="_GoBack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湖南省长沙县星沙街道东六路266号华润置地广场一期12栋1004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五、磋商小组成员名单 </w:t>
      </w:r>
    </w:p>
    <w:tbl>
      <w:tblPr>
        <w:tblStyle w:val="6"/>
        <w:tblW w:w="8078" w:type="dxa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433"/>
        <w:gridCol w:w="2300"/>
        <w:gridCol w:w="1897"/>
        <w:gridCol w:w="16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姓名</w:t>
            </w: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评审职务</w:t>
            </w:r>
          </w:p>
        </w:tc>
        <w:tc>
          <w:tcPr>
            <w:tcW w:w="1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产生方式</w:t>
            </w:r>
          </w:p>
        </w:tc>
        <w:tc>
          <w:tcPr>
            <w:tcW w:w="1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参与过程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王艳辉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磋商小组组长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随机抽取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全过程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 xml:space="preserve">李典辉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成员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随机抽取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全过程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 xml:space="preserve">廖庆林 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成员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随机抽取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全过程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注：产生方式注明是随机抽取或自行选定；参与过程注明是确定供应商、谈判或全过程。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六、代理服务收费标准金额：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按合同执行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七、质疑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参与采购活动的供应商如对此公告有异议的，请于此公告发布之日起七个工作日内，以书面形式向采购人、代理机构提出质疑。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八、公告期限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自本公告发布之日起1个工作日。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九、采购项目联系人姓名和电话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采 购 人：长沙县星天广播电视网络有限公司</w:t>
      </w:r>
    </w:p>
    <w:p>
      <w:pPr>
        <w:widowControl/>
        <w:snapToGrid w:val="0"/>
        <w:spacing w:line="360" w:lineRule="auto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采人：长沙县星天广播电视网络有限公司</w:t>
      </w:r>
    </w:p>
    <w:p>
      <w:pPr>
        <w:widowControl/>
        <w:snapToGrid w:val="0"/>
        <w:spacing w:line="360" w:lineRule="auto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地址： 长沙县星沙大道265号  </w:t>
      </w:r>
    </w:p>
    <w:p>
      <w:pPr>
        <w:widowControl/>
        <w:snapToGrid w:val="0"/>
        <w:spacing w:line="360" w:lineRule="auto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联系人： 何倩</w:t>
      </w:r>
    </w:p>
    <w:p>
      <w:pPr>
        <w:widowControl/>
        <w:snapToGrid w:val="0"/>
        <w:spacing w:line="360" w:lineRule="auto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电话：13637424489  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采购代理机构：鼎正工程咨询股份有限公司 </w:t>
      </w:r>
    </w:p>
    <w:p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联 系 人：谢谣涯</w:t>
      </w:r>
    </w:p>
    <w:p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电    话： 17608461167</w:t>
      </w:r>
    </w:p>
    <w:p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地    址：长沙市岳麓区中电软件园B2栋410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NzFjMTI1OGI4MDNmNmU1Y2NmODFmNjYyMmI3ZTQifQ=="/>
  </w:docVars>
  <w:rsids>
    <w:rsidRoot w:val="56661C93"/>
    <w:rsid w:val="005319D6"/>
    <w:rsid w:val="174E7AEF"/>
    <w:rsid w:val="1D201555"/>
    <w:rsid w:val="2BBF59F4"/>
    <w:rsid w:val="2FD67ADC"/>
    <w:rsid w:val="30A070D3"/>
    <w:rsid w:val="31396671"/>
    <w:rsid w:val="373873CF"/>
    <w:rsid w:val="56661C93"/>
    <w:rsid w:val="5BD84A95"/>
    <w:rsid w:val="6CCF3F5C"/>
    <w:rsid w:val="750836B7"/>
    <w:rsid w:val="7ACB6FCC"/>
    <w:rsid w:val="7B1633FD"/>
    <w:rsid w:val="7E8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First Indent"/>
    <w:basedOn w:val="3"/>
    <w:qFormat/>
    <w:uiPriority w:val="0"/>
    <w:pPr>
      <w:autoSpaceDE w:val="0"/>
      <w:autoSpaceDN w:val="0"/>
      <w:adjustRightInd w:val="0"/>
      <w:spacing w:before="72" w:beforeLines="0" w:after="48" w:afterLines="0" w:line="306" w:lineRule="exact"/>
      <w:ind w:firstLine="454" w:firstLineChars="200"/>
      <w:jc w:val="left"/>
    </w:pPr>
    <w:rPr>
      <w:sz w:val="24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首行缩进 21"/>
    <w:basedOn w:val="9"/>
    <w:qFormat/>
    <w:uiPriority w:val="0"/>
    <w:pPr>
      <w:ind w:firstLine="420" w:firstLineChars="200"/>
    </w:pPr>
  </w:style>
  <w:style w:type="paragraph" w:customStyle="1" w:styleId="9">
    <w:name w:val="正文文本缩进1"/>
    <w:basedOn w:val="1"/>
    <w:qFormat/>
    <w:uiPriority w:val="0"/>
    <w:pPr>
      <w:ind w:left="420" w:leftChars="200"/>
    </w:pPr>
  </w:style>
  <w:style w:type="paragraph" w:customStyle="1" w:styleId="10">
    <w:name w:val="列出段落1"/>
    <w:basedOn w:val="11"/>
    <w:next w:val="12"/>
    <w:qFormat/>
    <w:uiPriority w:val="0"/>
    <w:pPr>
      <w:ind w:firstLine="420" w:firstLineChars="200"/>
    </w:pPr>
  </w:style>
  <w:style w:type="paragraph" w:customStyle="1" w:styleId="11">
    <w:name w:val="正文_10_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Style9"/>
    <w:basedOn w:val="1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696</Words>
  <Characters>760</Characters>
  <Lines>0</Lines>
  <Paragraphs>0</Paragraphs>
  <TotalTime>7</TotalTime>
  <ScaleCrop>false</ScaleCrop>
  <LinksUpToDate>false</LinksUpToDate>
  <CharactersWithSpaces>808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2022-11-14T03:03:00Z</dcterms:created>
  <dc:creator>谢谣涯</dc:creator>
  <cp:lastModifiedBy>谢谣涯</cp:lastModifiedBy>
  <cp:lastPrinted>2023-04-04T02:58:05Z</cp:lastPrinted>
  <dcterms:modified xsi:type="dcterms:W3CDTF">2023-04-04T03:15:35Z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EF45BD3B81734975B69BC915C3E10DBB</vt:lpwstr>
  </property>
</Properties>
</file>